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jc w:val="center"/>
        <w:rPr>
          <w:rFonts w:ascii="Century Gothic" w:cs="Century Gothic" w:hAnsi="Century Gothic" w:eastAsia="Century Gothic"/>
        </w:rPr>
      </w:pPr>
      <w:r>
        <w:br w:type="textWrapping"/>
      </w:r>
      <w:r>
        <w:rPr>
          <w:rFonts w:ascii="Century Gothic" w:hAnsi="Century Gothic"/>
          <w:b w:val="1"/>
          <w:bCs w:val="1"/>
          <w:rtl w:val="0"/>
          <w:lang w:val="en-US"/>
        </w:rPr>
        <w:t>SHORT B</w:t>
      </w:r>
      <w:r>
        <w:rPr>
          <w:rFonts w:ascii="Century Gothic" w:hAnsi="Century Gothic"/>
          <w:b w:val="1"/>
          <w:bCs w:val="1"/>
          <w:rtl w:val="0"/>
          <w:lang w:val="en-US"/>
        </w:rPr>
        <w:t xml:space="preserve">IO </w:t>
      </w:r>
      <w:r>
        <w:rPr>
          <w:rFonts w:ascii="Century Gothic" w:hAnsi="Century Gothic"/>
          <w:rtl w:val="0"/>
          <w:lang w:val="en-US"/>
        </w:rPr>
        <w:t>(</w:t>
      </w:r>
      <w:r>
        <w:rPr>
          <w:rFonts w:ascii="Century Gothic" w:hAnsi="Century Gothic"/>
          <w:rtl w:val="0"/>
          <w:lang w:val="en-US"/>
        </w:rPr>
        <w:t>224</w:t>
      </w:r>
      <w:r>
        <w:rPr>
          <w:rFonts w:ascii="Century Gothic" w:hAnsi="Century Gothic"/>
          <w:rtl w:val="0"/>
          <w:lang w:val="en-US"/>
        </w:rPr>
        <w:t xml:space="preserve"> Words)</w:t>
      </w:r>
      <w:r>
        <w:rPr>
          <w:rFonts w:ascii="Century Gothic" w:cs="Century Gothic" w:hAnsi="Century Gothic" w:eastAsia="Century Gothic"/>
        </w:rPr>
        <w:br w:type="textWrapping"/>
      </w:r>
    </w:p>
    <w:p>
      <w:pPr>
        <w:pStyle w:val="Body"/>
        <w:spacing w:line="288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Hailed as 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“</w:t>
      </w:r>
      <w:r>
        <w:rPr>
          <w:rFonts w:ascii="Helvetica Neue" w:hAnsi="Helvetica Neue"/>
          <w:sz w:val="22"/>
          <w:szCs w:val="22"/>
          <w:rtl w:val="0"/>
          <w:lang w:val="en-US"/>
        </w:rPr>
        <w:t>a master of myriad styles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 xml:space="preserve">” 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by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Gramophone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s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Donald Rosenberg, S</w:t>
      </w:r>
      <w:r>
        <w:rPr>
          <w:rFonts w:ascii="Helvetica Neue" w:hAnsi="Helvetica Neue"/>
          <w:sz w:val="22"/>
          <w:szCs w:val="22"/>
          <w:rtl w:val="0"/>
          <w:lang w:val="it-IT"/>
        </w:rPr>
        <w:t>an Francisco-born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  <w:lang w:val="de-DE"/>
        </w:rPr>
        <w:t>Henry Dehlinger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  <w:lang w:val="en-US"/>
        </w:rPr>
        <w:t>is an American composer known for his choral and symphonic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works. </w:t>
      </w:r>
      <w:r>
        <w:rPr>
          <w:rFonts w:ascii="Helvetica Neue" w:hAnsi="Helvetica Neue"/>
          <w:sz w:val="22"/>
          <w:szCs w:val="22"/>
          <w:rtl w:val="0"/>
          <w:lang w:val="en-US"/>
        </w:rPr>
        <w:t>"Dehlinger's music does wonders," adds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The Washington Post's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Michael Andor Brodeur, who characterizes Dehlinger's rich orchestrations as </w:t>
      </w:r>
      <w:r>
        <w:rPr>
          <w:rFonts w:ascii="Helvetica Neue" w:hAnsi="Helvetica Neue" w:hint="default"/>
          <w:sz w:val="22"/>
          <w:szCs w:val="22"/>
          <w:rtl w:val="1"/>
          <w:lang w:val="ar-SA" w:bidi="ar-SA"/>
        </w:rPr>
        <w:t>“</w:t>
      </w:r>
      <w:r>
        <w:rPr>
          <w:rFonts w:ascii="Helvetica Neue" w:hAnsi="Helvetica Neue"/>
          <w:sz w:val="22"/>
          <w:szCs w:val="22"/>
          <w:rtl w:val="0"/>
          <w:lang w:val="en-US"/>
        </w:rPr>
        <w:t>an unexpected emotional punch.</w:t>
      </w:r>
      <w:r>
        <w:rPr>
          <w:rFonts w:ascii="Helvetica Neue" w:hAnsi="Helvetica Neue" w:hint="default"/>
          <w:sz w:val="22"/>
          <w:szCs w:val="22"/>
          <w:rtl w:val="0"/>
        </w:rPr>
        <w:t>”</w:t>
      </w:r>
    </w:p>
    <w:p>
      <w:pPr>
        <w:pStyle w:val="Body"/>
        <w:spacing w:line="288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This 2022-23 season, Dehlinger is collaborating with NASA and the National Philharmonic on creative projects that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Agence France-Presse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calls, 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“</w:t>
      </w:r>
      <w:r>
        <w:rPr>
          <w:rFonts w:ascii="Helvetica Neue" w:hAnsi="Helvetica Neue"/>
          <w:sz w:val="22"/>
          <w:szCs w:val="22"/>
          <w:rtl w:val="0"/>
          <w:lang w:val="en-US"/>
        </w:rPr>
        <w:t>the ultimate blend of art and science.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”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Notable among them is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Cosmic Cycles, A Space Symphony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, a monumental suite of seven symphonic poems inspired by </w:t>
      </w:r>
      <w:r>
        <w:rPr>
          <w:rFonts w:ascii="Helvetica Neue" w:hAnsi="Helvetica Neue"/>
          <w:sz w:val="22"/>
          <w:szCs w:val="22"/>
          <w:rtl w:val="0"/>
          <w:lang w:val="en-US"/>
        </w:rPr>
        <w:t>s</w:t>
      </w:r>
      <w:r>
        <w:rPr>
          <w:rFonts w:ascii="Helvetica Neue" w:hAnsi="Helvetica Neue"/>
          <w:sz w:val="22"/>
          <w:szCs w:val="22"/>
          <w:rtl w:val="0"/>
          <w:lang w:val="en-US"/>
        </w:rPr>
        <w:t>tunning images from the Hubble and Webb Space Telescopes and richly rendered 3D animations, simulations and visualizations created by NASA's Goddard Space Flight Center</w:t>
      </w:r>
      <w:r>
        <w:rPr>
          <w:rFonts w:ascii="Helvetica Neue" w:hAnsi="Helvetica Neue"/>
          <w:sz w:val="22"/>
          <w:szCs w:val="22"/>
          <w:rtl w:val="0"/>
          <w:lang w:val="en-US"/>
        </w:rPr>
        <w:t>.</w:t>
      </w:r>
    </w:p>
    <w:p>
      <w:pPr>
        <w:pStyle w:val="Body"/>
        <w:spacing w:line="288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Also notable is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Return to the Moon, A Fanfare to Artemis</w:t>
      </w:r>
      <w:r>
        <w:rPr>
          <w:rFonts w:ascii="Helvetica Neue" w:hAnsi="Helvetica Neue"/>
          <w:sz w:val="22"/>
          <w:szCs w:val="22"/>
          <w:rtl w:val="0"/>
          <w:lang w:val="en-US"/>
        </w:rPr>
        <w:t>, a powerful anthem that marked the rollout of the main launch vehicle of NASA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’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s Artemis lunar program.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The Washington Post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calls it, 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“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the most traditionally triumphant-sounding skyward </w:t>
      </w:r>
      <w:r>
        <w:rPr>
          <w:rFonts w:ascii="Helvetica Neue" w:hAnsi="Helvetica Neue"/>
          <w:sz w:val="22"/>
          <w:szCs w:val="22"/>
          <w:rtl w:val="0"/>
          <w:lang w:val="en-US"/>
        </w:rPr>
        <w:t>salute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…</w:t>
      </w:r>
      <w:r>
        <w:rPr>
          <w:rFonts w:ascii="Helvetica Neue" w:hAnsi="Helvetica Neue"/>
          <w:sz w:val="22"/>
          <w:szCs w:val="22"/>
          <w:rtl w:val="0"/>
          <w:lang w:val="en-US"/>
        </w:rPr>
        <w:t>a reminder of what we want from the heavens in the first place: a sign that someone</w:t>
      </w:r>
      <w:r>
        <w:rPr>
          <w:rFonts w:ascii="Helvetica Neue" w:hAnsi="Helvetica Neue" w:hint="default"/>
          <w:sz w:val="22"/>
          <w:szCs w:val="22"/>
          <w:rtl w:val="1"/>
        </w:rPr>
        <w:t>’</w:t>
      </w:r>
      <w:r>
        <w:rPr>
          <w:rFonts w:ascii="Helvetica Neue" w:hAnsi="Helvetica Neue"/>
          <w:sz w:val="22"/>
          <w:szCs w:val="22"/>
          <w:rtl w:val="0"/>
        </w:rPr>
        <w:t>s listening.</w:t>
      </w:r>
      <w:r>
        <w:rPr>
          <w:rFonts w:ascii="Helvetica Neue" w:hAnsi="Helvetica Neue" w:hint="default"/>
          <w:sz w:val="22"/>
          <w:szCs w:val="22"/>
          <w:rtl w:val="0"/>
        </w:rPr>
        <w:t>”</w:t>
      </w:r>
    </w:p>
    <w:p>
      <w:pPr>
        <w:pStyle w:val="Body"/>
        <w:spacing w:line="288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In addition to his choral and symphonic works, Dehlinger has a celebrated body of chamber works, jazz arrangements, and art songs. Dehlinger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’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s vocal oeuvre is especially lauded by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Gramophone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, 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“</w:t>
      </w:r>
      <w:r>
        <w:rPr>
          <w:rFonts w:ascii="Helvetica Neue" w:hAnsi="Helvetica Neue"/>
          <w:sz w:val="22"/>
          <w:szCs w:val="22"/>
          <w:rtl w:val="0"/>
          <w:lang w:val="en-US"/>
        </w:rPr>
        <w:t>The songs are diverse in atmosphere and harmonic language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…</w:t>
      </w:r>
      <w:r>
        <w:rPr>
          <w:rFonts w:ascii="Helvetica Neue" w:hAnsi="Helvetica Neue"/>
          <w:sz w:val="22"/>
          <w:szCs w:val="22"/>
          <w:rtl w:val="0"/>
          <w:lang w:val="en-US"/>
        </w:rPr>
        <w:t>and the writing is rich, often rapturous.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”</w:t>
      </w:r>
    </w:p>
    <w:p>
      <w:pPr>
        <w:pStyle w:val="Body"/>
        <w:spacing w:line="288" w:lineRule="auto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His official website is: </w:t>
      </w:r>
      <w:r>
        <w:rPr>
          <w:rStyle w:val="Hyperlink.0"/>
          <w:rFonts w:ascii="Helvetica Neue" w:cs="Helvetica Neue" w:hAnsi="Helvetica Neue" w:eastAsia="Helvetica Neue"/>
          <w:sz w:val="22"/>
          <w:szCs w:val="22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sz w:val="22"/>
          <w:szCs w:val="22"/>
        </w:rPr>
        <w:instrText xml:space="preserve"> HYPERLINK "https://HenryDehlinger.com"</w:instrText>
      </w:r>
      <w:r>
        <w:rPr>
          <w:rStyle w:val="Hyperlink.0"/>
          <w:rFonts w:ascii="Helvetica Neue" w:cs="Helvetica Neue" w:hAnsi="Helvetica Neue" w:eastAsia="Helvetica Neue"/>
          <w:sz w:val="22"/>
          <w:szCs w:val="22"/>
        </w:rPr>
        <w:fldChar w:fldCharType="separate" w:fldLock="0"/>
      </w:r>
      <w:r>
        <w:rPr>
          <w:rStyle w:val="Hyperlink.0"/>
          <w:rFonts w:ascii="Helvetica Neue" w:hAnsi="Helvetica Neue"/>
          <w:sz w:val="22"/>
          <w:szCs w:val="22"/>
          <w:rtl w:val="0"/>
          <w:lang w:val="en-US"/>
        </w:rPr>
        <w:t>https:// HenryDehlinger.com</w:t>
      </w:r>
      <w:r>
        <w:rPr>
          <w:rFonts w:ascii="Helvetica Neue" w:cs="Helvetica Neue" w:hAnsi="Helvetica Neue" w:eastAsia="Helvetica Neue"/>
          <w:sz w:val="22"/>
          <w:szCs w:val="22"/>
        </w:rPr>
        <w:fldChar w:fldCharType="end" w:fldLock="0"/>
      </w:r>
      <w:r>
        <w:rPr>
          <w:rFonts w:ascii="Helvetica Neue" w:hAnsi="Helvetica Neue"/>
          <w:sz w:val="22"/>
          <w:szCs w:val="22"/>
          <w:rtl w:val="0"/>
          <w:lang w:val="en-US"/>
        </w:rPr>
        <w:t>.</w:t>
      </w:r>
    </w:p>
    <w:p>
      <w:pPr>
        <w:pStyle w:val="Body"/>
        <w:spacing w:line="288" w:lineRule="auto"/>
      </w:pPr>
      <w:r>
        <w:rPr>
          <w:rFonts w:ascii="Helvetica Neue" w:hAnsi="Helvetica Neue" w:hint="default"/>
          <w:sz w:val="22"/>
          <w:szCs w:val="22"/>
          <w:rtl w:val="0"/>
          <w:lang w:val="en-US"/>
        </w:rPr>
        <w:t>—</w:t>
      </w:r>
      <w:r>
        <w:rPr>
          <w:rFonts w:ascii="Helvetica Neue" w:hAnsi="Helvetica Neue"/>
          <w:sz w:val="22"/>
          <w:szCs w:val="22"/>
          <w:rtl w:val="0"/>
          <w:lang w:val="en-US"/>
        </w:rPr>
        <w:t>May 2023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296" w:right="1584" w:bottom="1296" w:left="1584" w:header="547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40"/>
        <w:tab w:val="clear" w:pos="9360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1005839</wp:posOffset>
          </wp:positionH>
          <wp:positionV relativeFrom="page">
            <wp:posOffset>374373</wp:posOffset>
          </wp:positionV>
          <wp:extent cx="1855315" cy="371061"/>
          <wp:effectExtent l="0" t="0" r="0" b="0"/>
          <wp:wrapNone/>
          <wp:docPr id="1073741825" name="officeArt object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xtDescription automatically generated" descr="Text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315" cy="3710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entury Gothic" w:hAnsi="Century Gothic"/>
        <w:sz w:val="18"/>
        <w:szCs w:val="18"/>
        <w:rtl w:val="0"/>
        <w:lang w:val="en-US"/>
      </w:rPr>
      <w:t xml:space="preserve">Page </w:t>
    </w:r>
    <w:r>
      <w:rPr>
        <w:rFonts w:ascii="Century Gothic" w:cs="Century Gothic" w:hAnsi="Century Gothic" w:eastAsia="Century Gothic"/>
        <w:sz w:val="18"/>
        <w:szCs w:val="18"/>
        <w:rtl w:val="0"/>
      </w:rPr>
      <w:fldChar w:fldCharType="begin" w:fldLock="0"/>
    </w:r>
    <w:r>
      <w:rPr>
        <w:rFonts w:ascii="Century Gothic" w:cs="Century Gothic" w:hAnsi="Century Gothic" w:eastAsia="Century Gothic"/>
        <w:sz w:val="18"/>
        <w:szCs w:val="18"/>
        <w:rtl w:val="0"/>
      </w:rPr>
      <w:instrText xml:space="preserve"> PAGE </w:instrText>
    </w:r>
    <w:r>
      <w:rPr>
        <w:rFonts w:ascii="Century Gothic" w:cs="Century Gothic" w:hAnsi="Century Gothic" w:eastAsia="Century Gothic"/>
        <w:sz w:val="18"/>
        <w:szCs w:val="18"/>
        <w:rtl w:val="0"/>
      </w:rPr>
      <w:fldChar w:fldCharType="separate" w:fldLock="0"/>
    </w:r>
    <w:r>
      <w:rPr>
        <w:rFonts w:ascii="Century Gothic" w:cs="Century Gothic" w:hAnsi="Century Gothic" w:eastAsia="Century Gothic"/>
        <w:sz w:val="18"/>
        <w:szCs w:val="18"/>
        <w:rtl w:val="0"/>
      </w:rPr>
    </w:r>
    <w:r>
      <w:rPr>
        <w:rFonts w:ascii="Century Gothic" w:cs="Century Gothic" w:hAnsi="Century Gothic" w:eastAsia="Century Gothic"/>
        <w:sz w:val="18"/>
        <w:szCs w:val="18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52"/>
        <w:tab w:val="clear" w:pos="9360"/>
      </w:tabs>
      <w:spacing w:after="120"/>
      <w:jc w:val="center"/>
    </w:pPr>
    <w:r>
      <w:drawing xmlns:a="http://schemas.openxmlformats.org/drawingml/2006/main">
        <wp:inline distT="0" distB="0" distL="0" distR="0">
          <wp:extent cx="3081684" cy="616335"/>
          <wp:effectExtent l="0" t="0" r="0" b="0"/>
          <wp:docPr id="1073741826" name="officeArt object" descr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3" descr="Picture 1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684" cy="616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4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320" w:lineRule="atLeast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2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